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3D61A5">
      <w:pPr>
        <w:spacing w:after="156" w:afterLines="50" w:line="400" w:lineRule="exact"/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浙江师范大学硕士研究生入学考试初试科目</w:t>
      </w:r>
      <w:r>
        <w:rPr>
          <w:rFonts w:ascii="黑体" w:eastAsia="黑体"/>
          <w:b/>
          <w:sz w:val="32"/>
          <w:szCs w:val="32"/>
        </w:rPr>
        <w:br w:type="textWrapping"/>
      </w:r>
      <w:r>
        <w:rPr>
          <w:rFonts w:hint="eastAsia" w:ascii="黑体" w:eastAsia="黑体"/>
          <w:b/>
          <w:sz w:val="32"/>
          <w:szCs w:val="32"/>
        </w:rPr>
        <w:t>考　试　大　纲</w:t>
      </w:r>
    </w:p>
    <w:tbl>
      <w:tblPr>
        <w:tblStyle w:val="6"/>
        <w:tblW w:w="8460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540"/>
        <w:gridCol w:w="6840"/>
      </w:tblGrid>
      <w:tr w14:paraId="238580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20" w:type="dxa"/>
            <w:gridSpan w:val="2"/>
            <w:shd w:val="clear" w:color="auto" w:fill="auto"/>
            <w:vAlign w:val="bottom"/>
          </w:tcPr>
          <w:p w14:paraId="208ECBD0">
            <w:pPr>
              <w:spacing w:after="46" w:afterLines="15"/>
              <w:ind w:left="-105" w:leftChars="-50" w:right="-105" w:rightChars="-5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科目代码、名称:</w:t>
            </w:r>
          </w:p>
        </w:tc>
        <w:tc>
          <w:tcPr>
            <w:tcW w:w="6840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 w14:paraId="55421B9D">
            <w:pPr>
              <w:keepNext/>
              <w:keepLines/>
              <w:spacing w:before="78" w:beforeLines="25" w:after="31" w:afterLines="10"/>
              <w:jc w:val="center"/>
              <w:outlineLvl w:val="0"/>
              <w:rPr>
                <w:rFonts w:hint="eastAsia"/>
                <w:b/>
                <w:bCs/>
                <w:kern w:val="44"/>
                <w:szCs w:val="21"/>
              </w:rPr>
            </w:pPr>
            <w:r>
              <w:rPr>
                <w:rFonts w:hint="eastAsia"/>
                <w:b/>
                <w:bCs/>
                <w:kern w:val="44"/>
                <w:szCs w:val="21"/>
              </w:rPr>
              <w:t>842管理学</w:t>
            </w:r>
          </w:p>
        </w:tc>
      </w:tr>
      <w:tr w14:paraId="270A19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80" w:type="dxa"/>
            <w:shd w:val="clear" w:color="auto" w:fill="auto"/>
            <w:vAlign w:val="bottom"/>
          </w:tcPr>
          <w:p w14:paraId="7862B62C">
            <w:pPr>
              <w:spacing w:after="62" w:afterLines="20"/>
              <w:ind w:left="-105" w:leftChars="-50" w:right="-105" w:rightChars="-5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适用专业:</w:t>
            </w:r>
          </w:p>
        </w:tc>
        <w:tc>
          <w:tcPr>
            <w:tcW w:w="7380" w:type="dxa"/>
            <w:gridSpan w:val="2"/>
            <w:tcBorders>
              <w:bottom w:val="single" w:color="auto" w:sz="4" w:space="0"/>
            </w:tcBorders>
            <w:shd w:val="clear" w:color="auto" w:fill="auto"/>
            <w:vAlign w:val="bottom"/>
          </w:tcPr>
          <w:p w14:paraId="2005C7D7">
            <w:pPr>
              <w:spacing w:before="78" w:beforeLines="25" w:after="31" w:afterLines="1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120200工商管理</w:t>
            </w:r>
          </w:p>
        </w:tc>
      </w:tr>
    </w:tbl>
    <w:p w14:paraId="5AF6FA63">
      <w:pPr>
        <w:spacing w:before="312" w:beforeLines="100" w:after="31" w:afterLines="1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一、考试形式与试卷结构</w:t>
      </w:r>
    </w:p>
    <w:p w14:paraId="02884DE0">
      <w:pPr>
        <w:spacing w:before="31" w:beforeLines="10" w:after="31" w:afterLines="10"/>
        <w:ind w:firstLine="422" w:firstLineChars="200"/>
        <w:rPr>
          <w:rFonts w:eastAsia="新宋体"/>
          <w:b/>
          <w:szCs w:val="21"/>
        </w:rPr>
      </w:pPr>
      <w:r>
        <w:rPr>
          <w:b/>
          <w:szCs w:val="21"/>
        </w:rPr>
        <w:t>（一）试卷满分及考试时间</w:t>
      </w:r>
    </w:p>
    <w:p w14:paraId="7DAFDE8C">
      <w:pPr>
        <w:spacing w:before="31" w:beforeLines="10" w:after="31" w:afterLines="10"/>
        <w:ind w:firstLine="420" w:firstLineChars="200"/>
        <w:rPr>
          <w:rFonts w:eastAsia="新宋体"/>
          <w:szCs w:val="21"/>
        </w:rPr>
      </w:pPr>
      <w:r>
        <w:rPr>
          <w:rFonts w:hAnsi="新宋体" w:eastAsia="新宋体"/>
          <w:szCs w:val="21"/>
        </w:rPr>
        <w:t>本试卷满分为</w:t>
      </w:r>
      <w:r>
        <w:rPr>
          <w:rFonts w:eastAsia="新宋体"/>
          <w:szCs w:val="21"/>
        </w:rPr>
        <w:t>150</w:t>
      </w:r>
      <w:r>
        <w:rPr>
          <w:rFonts w:hAnsi="新宋体" w:eastAsia="新宋体"/>
          <w:szCs w:val="21"/>
        </w:rPr>
        <w:t>分，考试时间为</w:t>
      </w:r>
      <w:r>
        <w:rPr>
          <w:rFonts w:eastAsia="新宋体"/>
          <w:szCs w:val="21"/>
        </w:rPr>
        <w:t>180</w:t>
      </w:r>
      <w:r>
        <w:rPr>
          <w:rFonts w:hAnsi="新宋体" w:eastAsia="新宋体"/>
          <w:szCs w:val="21"/>
        </w:rPr>
        <w:t>分钟。</w:t>
      </w:r>
    </w:p>
    <w:p w14:paraId="72A9DA50">
      <w:pPr>
        <w:spacing w:before="31" w:beforeLines="10" w:after="31" w:afterLines="10"/>
        <w:ind w:firstLine="422" w:firstLineChars="200"/>
        <w:rPr>
          <w:rFonts w:eastAsia="新宋体"/>
          <w:b/>
          <w:szCs w:val="21"/>
        </w:rPr>
      </w:pPr>
      <w:r>
        <w:rPr>
          <w:rFonts w:hAnsi="新宋体" w:eastAsia="新宋体"/>
          <w:b/>
          <w:szCs w:val="21"/>
        </w:rPr>
        <w:t>（二）答题方式</w:t>
      </w:r>
    </w:p>
    <w:p w14:paraId="27FE4383">
      <w:pPr>
        <w:spacing w:before="31" w:beforeLines="10" w:after="31" w:afterLines="10"/>
        <w:ind w:firstLine="420" w:firstLineChars="200"/>
        <w:rPr>
          <w:rFonts w:eastAsia="新宋体"/>
          <w:szCs w:val="21"/>
        </w:rPr>
      </w:pPr>
      <w:r>
        <w:rPr>
          <w:rFonts w:hAnsi="新宋体" w:eastAsia="新宋体"/>
          <w:szCs w:val="21"/>
        </w:rPr>
        <w:t>答题方式为闭卷、笔试。</w:t>
      </w:r>
    </w:p>
    <w:p w14:paraId="6FEC4575">
      <w:pPr>
        <w:spacing w:before="31" w:beforeLines="10" w:after="31" w:afterLines="10"/>
        <w:ind w:firstLine="420" w:firstLineChars="200"/>
        <w:rPr>
          <w:rFonts w:eastAsia="新宋体"/>
          <w:szCs w:val="21"/>
        </w:rPr>
      </w:pPr>
      <w:r>
        <w:rPr>
          <w:rFonts w:hAnsi="新宋体" w:eastAsia="新宋体"/>
          <w:szCs w:val="21"/>
        </w:rPr>
        <w:t>试卷由试题和答题纸组成；答案必须写在答题纸（由考点提供）相应的位置上。</w:t>
      </w:r>
    </w:p>
    <w:p w14:paraId="21F3FB86">
      <w:pPr>
        <w:spacing w:before="31" w:beforeLines="10" w:after="31" w:afterLines="10"/>
        <w:ind w:firstLine="422" w:firstLineChars="200"/>
        <w:rPr>
          <w:rFonts w:eastAsia="新宋体"/>
          <w:b/>
          <w:szCs w:val="21"/>
        </w:rPr>
      </w:pPr>
      <w:r>
        <w:rPr>
          <w:rFonts w:hAnsi="新宋体" w:eastAsia="新宋体"/>
          <w:b/>
          <w:szCs w:val="21"/>
        </w:rPr>
        <w:t>（三）试卷题型结构</w:t>
      </w:r>
    </w:p>
    <w:p w14:paraId="4F9CC391">
      <w:pPr>
        <w:spacing w:before="31" w:beforeLines="10" w:after="31" w:afterLines="10"/>
        <w:ind w:firstLine="420" w:firstLineChars="200"/>
        <w:rPr>
          <w:rFonts w:eastAsia="新宋体"/>
          <w:szCs w:val="21"/>
        </w:rPr>
      </w:pPr>
      <w:r>
        <w:rPr>
          <w:rFonts w:eastAsia="新宋体"/>
          <w:szCs w:val="21"/>
        </w:rPr>
        <w:t>1</w:t>
      </w:r>
      <w:r>
        <w:rPr>
          <w:rFonts w:ascii="宋体" w:hAnsi="宋体"/>
          <w:szCs w:val="21"/>
        </w:rPr>
        <w:t xml:space="preserve">. </w:t>
      </w:r>
      <w:r>
        <w:rPr>
          <w:rFonts w:hAnsi="新宋体" w:eastAsia="新宋体"/>
          <w:szCs w:val="21"/>
        </w:rPr>
        <w:t>单选题：</w:t>
      </w:r>
      <w:r>
        <w:rPr>
          <w:rFonts w:hint="eastAsia" w:eastAsia="新宋体"/>
          <w:szCs w:val="21"/>
        </w:rPr>
        <w:t>约</w:t>
      </w:r>
      <w:r>
        <w:rPr>
          <w:rFonts w:eastAsia="新宋体"/>
          <w:szCs w:val="21"/>
        </w:rPr>
        <w:t>20</w:t>
      </w:r>
      <w:r>
        <w:rPr>
          <w:rFonts w:hAnsi="新宋体" w:eastAsia="新宋体"/>
          <w:szCs w:val="21"/>
        </w:rPr>
        <w:t>分</w:t>
      </w:r>
    </w:p>
    <w:p w14:paraId="659DBBED">
      <w:pPr>
        <w:spacing w:before="31" w:beforeLines="10" w:after="31" w:afterLines="10"/>
        <w:ind w:firstLine="420" w:firstLineChars="200"/>
        <w:rPr>
          <w:rFonts w:eastAsia="新宋体"/>
          <w:szCs w:val="21"/>
        </w:rPr>
      </w:pPr>
      <w:r>
        <w:rPr>
          <w:rFonts w:eastAsia="新宋体"/>
          <w:szCs w:val="21"/>
        </w:rPr>
        <w:t>2</w:t>
      </w:r>
      <w:r>
        <w:rPr>
          <w:rFonts w:ascii="宋体" w:hAnsi="宋体"/>
          <w:szCs w:val="21"/>
        </w:rPr>
        <w:t xml:space="preserve">. </w:t>
      </w:r>
      <w:r>
        <w:rPr>
          <w:rFonts w:hAnsi="新宋体" w:eastAsia="新宋体"/>
          <w:szCs w:val="21"/>
        </w:rPr>
        <w:t>名词解释题：</w:t>
      </w:r>
      <w:r>
        <w:rPr>
          <w:rFonts w:hint="eastAsia" w:hAnsi="新宋体" w:eastAsia="新宋体"/>
          <w:szCs w:val="21"/>
        </w:rPr>
        <w:t>约</w:t>
      </w:r>
      <w:r>
        <w:rPr>
          <w:rFonts w:eastAsia="新宋体"/>
          <w:szCs w:val="21"/>
        </w:rPr>
        <w:t>30</w:t>
      </w:r>
      <w:r>
        <w:rPr>
          <w:rFonts w:hAnsi="新宋体" w:eastAsia="新宋体"/>
          <w:szCs w:val="21"/>
        </w:rPr>
        <w:t>分</w:t>
      </w:r>
    </w:p>
    <w:p w14:paraId="0C06A4F2">
      <w:pPr>
        <w:spacing w:before="31" w:beforeLines="10" w:after="31" w:afterLines="10"/>
        <w:ind w:firstLine="420" w:firstLineChars="200"/>
        <w:rPr>
          <w:rFonts w:eastAsia="新宋体"/>
          <w:szCs w:val="21"/>
        </w:rPr>
      </w:pPr>
      <w:r>
        <w:rPr>
          <w:rFonts w:eastAsia="新宋体"/>
          <w:szCs w:val="21"/>
        </w:rPr>
        <w:t>3</w:t>
      </w:r>
      <w:r>
        <w:rPr>
          <w:rFonts w:ascii="宋体" w:hAnsi="宋体"/>
          <w:szCs w:val="21"/>
        </w:rPr>
        <w:t xml:space="preserve">. </w:t>
      </w:r>
      <w:r>
        <w:rPr>
          <w:rFonts w:hAnsi="新宋体" w:eastAsia="新宋体"/>
          <w:szCs w:val="21"/>
        </w:rPr>
        <w:t>简答题：</w:t>
      </w:r>
      <w:r>
        <w:rPr>
          <w:rFonts w:hint="eastAsia" w:hAnsi="新宋体" w:eastAsia="新宋体"/>
          <w:szCs w:val="21"/>
        </w:rPr>
        <w:t>约</w:t>
      </w:r>
      <w:r>
        <w:rPr>
          <w:rFonts w:hint="eastAsia" w:eastAsia="新宋体"/>
          <w:szCs w:val="21"/>
        </w:rPr>
        <w:t>4</w:t>
      </w:r>
      <w:r>
        <w:rPr>
          <w:rFonts w:eastAsia="新宋体"/>
          <w:szCs w:val="21"/>
        </w:rPr>
        <w:t>0</w:t>
      </w:r>
      <w:r>
        <w:rPr>
          <w:rFonts w:hAnsi="新宋体" w:eastAsia="新宋体"/>
          <w:szCs w:val="21"/>
        </w:rPr>
        <w:t>分</w:t>
      </w:r>
    </w:p>
    <w:p w14:paraId="00613AB6">
      <w:pPr>
        <w:spacing w:before="31" w:beforeLines="10" w:after="31" w:afterLines="10"/>
        <w:ind w:firstLine="420" w:firstLineChars="200"/>
        <w:rPr>
          <w:rFonts w:eastAsia="新宋体"/>
          <w:szCs w:val="21"/>
        </w:rPr>
      </w:pPr>
      <w:r>
        <w:rPr>
          <w:rFonts w:eastAsia="新宋体"/>
          <w:szCs w:val="21"/>
        </w:rPr>
        <w:t>4</w:t>
      </w:r>
      <w:r>
        <w:rPr>
          <w:rFonts w:ascii="宋体" w:hAnsi="宋体"/>
          <w:szCs w:val="21"/>
        </w:rPr>
        <w:t xml:space="preserve">. </w:t>
      </w:r>
      <w:r>
        <w:rPr>
          <w:rFonts w:hAnsi="新宋体" w:eastAsia="新宋体"/>
          <w:szCs w:val="21"/>
        </w:rPr>
        <w:t>分析论述题：</w:t>
      </w:r>
      <w:r>
        <w:rPr>
          <w:rFonts w:hint="eastAsia" w:hAnsi="新宋体" w:eastAsia="新宋体"/>
          <w:szCs w:val="21"/>
        </w:rPr>
        <w:t>约</w:t>
      </w:r>
      <w:r>
        <w:rPr>
          <w:rFonts w:hint="eastAsia" w:eastAsia="新宋体"/>
          <w:szCs w:val="21"/>
        </w:rPr>
        <w:t>6</w:t>
      </w:r>
      <w:r>
        <w:rPr>
          <w:rFonts w:eastAsia="新宋体"/>
          <w:szCs w:val="21"/>
        </w:rPr>
        <w:t>0</w:t>
      </w:r>
      <w:r>
        <w:rPr>
          <w:rFonts w:hAnsi="新宋体" w:eastAsia="新宋体"/>
          <w:szCs w:val="21"/>
        </w:rPr>
        <w:t>分</w:t>
      </w:r>
    </w:p>
    <w:p w14:paraId="1AD2ED43">
      <w:pPr>
        <w:spacing w:before="312" w:beforeLines="100" w:after="31" w:afterLines="10"/>
        <w:rPr>
          <w:b/>
          <w:szCs w:val="21"/>
        </w:rPr>
      </w:pPr>
      <w:r>
        <w:rPr>
          <w:rFonts w:hint="eastAsia"/>
          <w:b/>
          <w:szCs w:val="21"/>
        </w:rPr>
        <w:t>二、考查目标（复习要求）</w:t>
      </w:r>
    </w:p>
    <w:p w14:paraId="75AF9C07">
      <w:pPr>
        <w:ind w:firstLine="420" w:firstLineChars="200"/>
        <w:rPr>
          <w:rFonts w:ascii="新宋体" w:hAnsi="新宋体" w:eastAsia="新宋体"/>
          <w:szCs w:val="21"/>
        </w:rPr>
      </w:pPr>
      <w:r>
        <w:rPr>
          <w:rFonts w:hint="eastAsia" w:ascii="新宋体" w:hAnsi="新宋体" w:eastAsia="新宋体"/>
          <w:szCs w:val="21"/>
        </w:rPr>
        <w:t>全日制攻读硕士学位研究生入学考试管理学科目</w:t>
      </w:r>
      <w:r>
        <w:rPr>
          <w:rFonts w:hint="eastAsia"/>
        </w:rPr>
        <w:t>是管理学科的核心基础课程，也是工商管理专业学生必须掌握的基础性课程之一</w:t>
      </w:r>
      <w:r>
        <w:rPr>
          <w:rFonts w:hint="eastAsia" w:ascii="新宋体" w:hAnsi="新宋体" w:eastAsia="新宋体"/>
          <w:szCs w:val="21"/>
        </w:rPr>
        <w:t>，要求考生系统掌握相关学科的基本知识、基础理论和基本方法，并能运用相关理论和方法分析、解决企业管理中的实际问题。</w:t>
      </w:r>
    </w:p>
    <w:p w14:paraId="54F914A2">
      <w:pPr>
        <w:spacing w:before="312" w:beforeLines="100" w:after="31" w:afterLines="1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三、考查范围或考试内容概要</w:t>
      </w:r>
    </w:p>
    <w:p w14:paraId="328F396D">
      <w:pPr>
        <w:spacing w:before="31" w:beforeLines="10" w:after="31" w:afterLines="10"/>
        <w:ind w:left="420" w:leftChars="20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第一部分：总论</w:t>
      </w:r>
    </w:p>
    <w:p w14:paraId="60BB11E1">
      <w:pPr>
        <w:spacing w:before="31" w:beforeLines="10" w:after="31" w:afterLines="10"/>
        <w:ind w:left="840" w:leftChars="40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第一章 管理与管理活动</w:t>
      </w:r>
    </w:p>
    <w:p w14:paraId="0DC86C95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1. 管理的内涵与本质</w:t>
      </w:r>
    </w:p>
    <w:p w14:paraId="083AC776">
      <w:pPr>
        <w:spacing w:before="31" w:beforeLines="10" w:after="31" w:afterLines="10"/>
        <w:ind w:left="1260" w:leftChars="600"/>
        <w:rPr>
          <w:rFonts w:ascii="宋体" w:hAnsi="宋体"/>
        </w:rPr>
      </w:pPr>
      <w:r>
        <w:rPr>
          <w:rFonts w:hint="eastAsia" w:ascii="宋体" w:hAnsi="宋体"/>
          <w:szCs w:val="21"/>
        </w:rPr>
        <w:t>2. 管理的基本原理与方法</w:t>
      </w:r>
    </w:p>
    <w:p w14:paraId="59D88BB6">
      <w:pPr>
        <w:spacing w:before="31" w:beforeLines="10" w:after="31" w:afterLines="10"/>
        <w:ind w:left="840" w:leftChars="40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第二章 管理理论的历史演变</w:t>
      </w:r>
    </w:p>
    <w:p w14:paraId="1BE2A318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1. 古典管理理论</w:t>
      </w:r>
    </w:p>
    <w:p w14:paraId="77814453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2. 现代管理理论</w:t>
      </w:r>
    </w:p>
    <w:p w14:paraId="4EED44C3">
      <w:pPr>
        <w:spacing w:before="31" w:beforeLines="10" w:after="31" w:afterLines="10"/>
        <w:ind w:left="1260" w:leftChars="600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/>
          <w:szCs w:val="21"/>
          <w:lang w:val="en-US" w:eastAsia="zh-CN"/>
        </w:rPr>
        <w:t>3. 当代管理理论</w:t>
      </w:r>
    </w:p>
    <w:p w14:paraId="57453210">
      <w:pPr>
        <w:spacing w:before="31" w:beforeLines="10" w:after="31" w:afterLines="10"/>
        <w:ind w:left="420" w:leftChars="20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第二部分：决策</w:t>
      </w:r>
    </w:p>
    <w:p w14:paraId="1C0BB5B4">
      <w:pPr>
        <w:spacing w:before="31" w:beforeLines="10" w:after="31" w:afterLines="10"/>
        <w:ind w:left="840" w:leftChars="40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第三章 决策与决策过程</w:t>
      </w:r>
    </w:p>
    <w:p w14:paraId="70196DF7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1. 决策及其任务</w:t>
      </w:r>
    </w:p>
    <w:p w14:paraId="7F2EF92E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2. 决策的类型与特征</w:t>
      </w:r>
    </w:p>
    <w:p w14:paraId="08038A9C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3. 决策过程与影响因素</w:t>
      </w:r>
    </w:p>
    <w:p w14:paraId="634FB420">
      <w:pPr>
        <w:spacing w:before="31" w:beforeLines="10" w:after="31" w:afterLines="10"/>
        <w:ind w:left="840" w:leftChars="40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第四章 环境分析与决策</w:t>
      </w:r>
    </w:p>
    <w:p w14:paraId="6B866F79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1. 组织的内外部环境要素</w:t>
      </w:r>
    </w:p>
    <w:p w14:paraId="183C11B0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2. 理性决策与非理性决策</w:t>
      </w:r>
    </w:p>
    <w:p w14:paraId="77366AC3">
      <w:pPr>
        <w:spacing w:before="31" w:beforeLines="10" w:after="31" w:afterLines="10"/>
        <w:ind w:left="1260" w:leftChars="6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 决策方法</w:t>
      </w:r>
    </w:p>
    <w:p w14:paraId="5CA1EDF6">
      <w:pPr>
        <w:spacing w:before="31" w:beforeLines="10" w:after="31" w:afterLines="10"/>
        <w:ind w:left="840" w:leftChars="40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第五章 决策的实施与调整</w:t>
      </w:r>
    </w:p>
    <w:p w14:paraId="6C6BC9C6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1. 实施决策的计划制定</w:t>
      </w:r>
    </w:p>
    <w:p w14:paraId="6FB6D702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2. 推进计划的流程与方法</w:t>
      </w:r>
    </w:p>
    <w:p w14:paraId="4463C567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3. 决策追踪与调整</w:t>
      </w:r>
    </w:p>
    <w:p w14:paraId="05767604">
      <w:pPr>
        <w:spacing w:before="31" w:beforeLines="10" w:after="31" w:afterLines="10"/>
        <w:ind w:left="420" w:leftChars="20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第三部分：组织</w:t>
      </w:r>
    </w:p>
    <w:p w14:paraId="25D17070">
      <w:pPr>
        <w:spacing w:before="31" w:beforeLines="10" w:after="31" w:afterLines="10"/>
        <w:ind w:left="840" w:leftChars="40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第六章 组织设计</w:t>
      </w:r>
    </w:p>
    <w:p w14:paraId="61F7AE7D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1. 组织设计的任务与影响因素</w:t>
      </w:r>
    </w:p>
    <w:p w14:paraId="70E66488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2. 组织结构</w:t>
      </w:r>
    </w:p>
    <w:p w14:paraId="60C7572F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3. 组织整合</w:t>
      </w:r>
    </w:p>
    <w:p w14:paraId="2DFE1477">
      <w:pPr>
        <w:spacing w:before="31" w:beforeLines="10" w:after="31" w:afterLines="10"/>
        <w:ind w:left="840" w:leftChars="40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第七章 人员配备</w:t>
      </w:r>
    </w:p>
    <w:p w14:paraId="1C9D2E4E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1. 人员配备的任务、工作内容和原则</w:t>
      </w:r>
    </w:p>
    <w:p w14:paraId="3823E278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2. 人员选聘</w:t>
      </w:r>
    </w:p>
    <w:p w14:paraId="6A9449FA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3. 人员考评</w:t>
      </w:r>
    </w:p>
    <w:p w14:paraId="3536DA9A">
      <w:pPr>
        <w:spacing w:before="31" w:beforeLines="10" w:after="31" w:afterLines="10"/>
        <w:ind w:left="1260" w:leftChars="6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4. 人员培训与发展</w:t>
      </w:r>
    </w:p>
    <w:p w14:paraId="3C1C1AC3">
      <w:pPr>
        <w:spacing w:before="31" w:beforeLines="10" w:after="31" w:afterLines="10"/>
        <w:ind w:left="840" w:leftChars="40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第八章 组织文化</w:t>
      </w:r>
    </w:p>
    <w:p w14:paraId="6780A2F7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1. 组织文化概述</w:t>
      </w:r>
    </w:p>
    <w:p w14:paraId="4CC021E7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2. 组织文化的构成与功能</w:t>
      </w:r>
    </w:p>
    <w:p w14:paraId="633FE7B2">
      <w:pPr>
        <w:spacing w:before="31" w:beforeLines="10" w:after="31" w:afterLines="10"/>
        <w:ind w:left="1260" w:leftChars="600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/>
          <w:szCs w:val="21"/>
          <w:lang w:val="en-US" w:eastAsia="zh-CN"/>
        </w:rPr>
        <w:t>3. 组织文化塑造</w:t>
      </w:r>
    </w:p>
    <w:p w14:paraId="294FF5C1">
      <w:pPr>
        <w:spacing w:before="31" w:beforeLines="10" w:after="31" w:afterLines="10"/>
        <w:ind w:left="420" w:leftChars="20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第四部分：领导</w:t>
      </w:r>
    </w:p>
    <w:p w14:paraId="1E4A8004">
      <w:pPr>
        <w:spacing w:before="31" w:beforeLines="10" w:after="31" w:afterLines="10"/>
        <w:ind w:left="840" w:leftChars="40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第九章 领导的一般理论</w:t>
      </w:r>
    </w:p>
    <w:p w14:paraId="7D0C66FA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1. 领导的内涵与特征</w:t>
      </w:r>
    </w:p>
    <w:p w14:paraId="7D3F1A7C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2. 领导与领导者</w:t>
      </w:r>
    </w:p>
    <w:p w14:paraId="06B41DB7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3. 领导与被领导者</w:t>
      </w:r>
    </w:p>
    <w:p w14:paraId="204E1F06">
      <w:pPr>
        <w:spacing w:before="31" w:beforeLines="10" w:after="31" w:afterLines="10"/>
        <w:ind w:left="1260" w:leftChars="6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4. 领导与情境</w:t>
      </w:r>
    </w:p>
    <w:p w14:paraId="1CE013B7">
      <w:pPr>
        <w:spacing w:before="31" w:beforeLines="10" w:after="31" w:afterLines="10"/>
        <w:ind w:left="840" w:leftChars="40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第十章 激励</w:t>
      </w:r>
    </w:p>
    <w:p w14:paraId="3A733645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1. 激励基础</w:t>
      </w:r>
    </w:p>
    <w:p w14:paraId="78816958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2. 激励理论</w:t>
      </w:r>
    </w:p>
    <w:p w14:paraId="07F609C7">
      <w:pPr>
        <w:spacing w:before="31" w:beforeLines="10" w:after="31" w:afterLines="10"/>
        <w:ind w:left="1260" w:leftChars="6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 激励方法</w:t>
      </w:r>
    </w:p>
    <w:p w14:paraId="7FE9BE73">
      <w:pPr>
        <w:spacing w:before="31" w:beforeLines="10" w:after="31" w:afterLines="10"/>
        <w:ind w:left="840" w:leftChars="40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第十一章 沟通</w:t>
      </w:r>
    </w:p>
    <w:p w14:paraId="14A4E9BC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1. 沟通与沟通类型</w:t>
      </w:r>
    </w:p>
    <w:p w14:paraId="05896E04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2. 沟通障碍及其克服</w:t>
      </w:r>
    </w:p>
    <w:p w14:paraId="30ECA86F">
      <w:pPr>
        <w:spacing w:before="31" w:beforeLines="10" w:after="31" w:afterLines="10"/>
        <w:ind w:left="1260" w:leftChars="6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 冲突及其管理</w:t>
      </w:r>
    </w:p>
    <w:p w14:paraId="05B66FF4">
      <w:pPr>
        <w:spacing w:before="31" w:beforeLines="10" w:after="31" w:afterLines="10"/>
        <w:ind w:left="420" w:leftChars="20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第五部分：控制</w:t>
      </w:r>
    </w:p>
    <w:p w14:paraId="2809D2E3">
      <w:pPr>
        <w:spacing w:before="31" w:beforeLines="10" w:after="31" w:afterLines="10"/>
        <w:ind w:left="840" w:leftChars="40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第十二章 控制</w:t>
      </w:r>
      <w:r>
        <w:rPr>
          <w:rFonts w:hint="eastAsia"/>
          <w:b/>
          <w:szCs w:val="21"/>
          <w:lang w:eastAsia="zh-CN"/>
        </w:rPr>
        <w:t>的</w:t>
      </w:r>
      <w:r>
        <w:rPr>
          <w:rFonts w:hint="eastAsia"/>
          <w:b/>
          <w:szCs w:val="21"/>
        </w:rPr>
        <w:t>类型与过程</w:t>
      </w:r>
    </w:p>
    <w:p w14:paraId="3E98A79B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1. 控制的内涵与原则</w:t>
      </w:r>
    </w:p>
    <w:p w14:paraId="35177BBE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2. 控制的类型</w:t>
      </w:r>
    </w:p>
    <w:p w14:paraId="682BAB4D">
      <w:pPr>
        <w:spacing w:before="31" w:beforeLines="10" w:after="31" w:afterLines="10"/>
        <w:ind w:left="1260" w:leftChars="6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 控制</w:t>
      </w:r>
      <w:r>
        <w:rPr>
          <w:rFonts w:hint="eastAsia" w:ascii="宋体" w:hAnsi="宋体"/>
          <w:szCs w:val="21"/>
          <w:lang w:eastAsia="zh-CN"/>
        </w:rPr>
        <w:t>的</w:t>
      </w:r>
      <w:r>
        <w:rPr>
          <w:rFonts w:hint="eastAsia" w:ascii="宋体" w:hAnsi="宋体"/>
          <w:szCs w:val="21"/>
        </w:rPr>
        <w:t>过程</w:t>
      </w:r>
    </w:p>
    <w:p w14:paraId="04EC0568">
      <w:pPr>
        <w:spacing w:before="31" w:beforeLines="10" w:after="31" w:afterLines="10"/>
        <w:ind w:left="840" w:leftChars="40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第十三章 控制</w:t>
      </w:r>
      <w:r>
        <w:rPr>
          <w:rFonts w:hint="eastAsia"/>
          <w:b/>
          <w:szCs w:val="21"/>
          <w:lang w:eastAsia="zh-CN"/>
        </w:rPr>
        <w:t>的</w:t>
      </w:r>
      <w:r>
        <w:rPr>
          <w:rFonts w:hint="eastAsia"/>
          <w:b/>
          <w:szCs w:val="21"/>
        </w:rPr>
        <w:t>方法与技术</w:t>
      </w:r>
    </w:p>
    <w:p w14:paraId="5A397BEF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1. 层级控制、市场控制与团体控制</w:t>
      </w:r>
    </w:p>
    <w:p w14:paraId="33A93BA1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2. 质量控制与全面均衡控制</w:t>
      </w:r>
    </w:p>
    <w:p w14:paraId="29DC752C">
      <w:pPr>
        <w:spacing w:before="31" w:beforeLines="10" w:after="31" w:afterLines="10"/>
        <w:ind w:left="1260" w:leftChars="600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/>
          <w:szCs w:val="21"/>
          <w:lang w:val="en-US" w:eastAsia="zh-CN"/>
        </w:rPr>
        <w:t>3. 管理控制的信息技术</w:t>
      </w:r>
    </w:p>
    <w:p w14:paraId="678F816E">
      <w:pPr>
        <w:spacing w:before="31" w:beforeLines="10" w:after="31" w:afterLines="10"/>
        <w:ind w:left="840" w:leftChars="40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第十四章 风险控制与危机管理</w:t>
      </w:r>
    </w:p>
    <w:p w14:paraId="4F4669AA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1. 风险识别与分析</w:t>
      </w:r>
    </w:p>
    <w:p w14:paraId="626ABB1D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2. 风险评估与控制</w:t>
      </w:r>
    </w:p>
    <w:p w14:paraId="5C98401F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 xml:space="preserve">3. </w:t>
      </w:r>
      <w:r>
        <w:rPr>
          <w:rFonts w:hint="eastAsia" w:ascii="宋体" w:hAnsi="宋体"/>
          <w:szCs w:val="21"/>
        </w:rPr>
        <w:t>危机管理</w:t>
      </w:r>
    </w:p>
    <w:p w14:paraId="158C57E8">
      <w:pPr>
        <w:spacing w:before="31" w:beforeLines="10" w:after="31" w:afterLines="10"/>
        <w:ind w:left="420" w:leftChars="20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第六部分：创新</w:t>
      </w:r>
    </w:p>
    <w:p w14:paraId="47AB7D93">
      <w:pPr>
        <w:spacing w:before="31" w:beforeLines="10" w:after="31" w:afterLines="10"/>
        <w:ind w:left="840" w:leftChars="40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第十五章 创新原理</w:t>
      </w:r>
    </w:p>
    <w:p w14:paraId="30AE7F60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1. 组织管理的创新职能</w:t>
      </w:r>
    </w:p>
    <w:p w14:paraId="45BF0810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2. 管理创新的类型与基本内容</w:t>
      </w:r>
    </w:p>
    <w:p w14:paraId="1BBF9507">
      <w:pPr>
        <w:spacing w:before="31" w:beforeLines="10" w:after="31" w:afterLines="10"/>
        <w:ind w:left="1260" w:leftChars="6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 xml:space="preserve">3. </w:t>
      </w:r>
      <w:r>
        <w:rPr>
          <w:rFonts w:hint="eastAsia" w:ascii="宋体" w:hAnsi="宋体"/>
          <w:szCs w:val="21"/>
        </w:rPr>
        <w:t>创新动因与创新管理</w:t>
      </w:r>
    </w:p>
    <w:p w14:paraId="07956985">
      <w:pPr>
        <w:spacing w:before="31" w:beforeLines="10" w:after="31" w:afterLines="10"/>
        <w:ind w:left="840" w:leftChars="40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第十六章 组织变革与创新</w:t>
      </w:r>
    </w:p>
    <w:p w14:paraId="3ACAE1CD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1. 组织变革</w:t>
      </w:r>
    </w:p>
    <w:p w14:paraId="64AA2082">
      <w:pPr>
        <w:spacing w:before="31" w:beforeLines="10" w:after="31" w:afterLines="10"/>
        <w:ind w:left="1260" w:leftChars="6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2. 组织创新</w:t>
      </w:r>
    </w:p>
    <w:p w14:paraId="70933278">
      <w:pPr>
        <w:spacing w:before="31" w:beforeLines="10" w:after="31" w:afterLines="10"/>
        <w:ind w:left="1260" w:leftChars="600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/>
          <w:szCs w:val="21"/>
        </w:rPr>
        <w:t>3. 组织</w:t>
      </w:r>
      <w:r>
        <w:rPr>
          <w:rFonts w:hint="eastAsia" w:ascii="宋体" w:hAnsi="宋体"/>
          <w:szCs w:val="21"/>
          <w:lang w:val="en-US" w:eastAsia="zh-CN"/>
        </w:rPr>
        <w:t>学习</w:t>
      </w:r>
      <w:bookmarkStart w:id="0" w:name="_GoBack"/>
      <w:bookmarkEnd w:id="0"/>
    </w:p>
    <w:p w14:paraId="43F1FB67">
      <w:pPr>
        <w:spacing w:after="156" w:afterLines="50" w:line="400" w:lineRule="exact"/>
        <w:jc w:val="center"/>
        <w:rPr>
          <w:rFonts w:hint="eastAsia" w:ascii="黑体" w:eastAsia="黑体"/>
          <w:b/>
          <w:sz w:val="32"/>
          <w:szCs w:val="32"/>
        </w:rPr>
      </w:pPr>
    </w:p>
    <w:p w14:paraId="7E34E2C2">
      <w:pPr>
        <w:spacing w:before="31" w:beforeLines="10" w:after="31" w:afterLines="10" w:line="288" w:lineRule="auto"/>
        <w:ind w:left="1260" w:leftChars="600"/>
        <w:rPr>
          <w:szCs w:val="21"/>
        </w:rPr>
      </w:pPr>
      <w:r>
        <w:rPr>
          <w:rFonts w:hint="eastAsia"/>
          <w:b/>
          <w:szCs w:val="21"/>
        </w:rPr>
        <w:t>主要参考书</w:t>
      </w:r>
      <w:r>
        <w:rPr>
          <w:rFonts w:hint="eastAsia"/>
          <w:szCs w:val="21"/>
        </w:rPr>
        <w:t>：</w:t>
      </w:r>
    </w:p>
    <w:p w14:paraId="0F48E983">
      <w:pPr>
        <w:spacing w:before="31" w:beforeLines="10" w:after="31" w:afterLines="10" w:line="288" w:lineRule="auto"/>
        <w:ind w:left="1260" w:leftChars="600"/>
        <w:rPr>
          <w:rFonts w:hint="default" w:eastAsia="宋体"/>
          <w:szCs w:val="21"/>
          <w:lang w:val="en-US" w:eastAsia="zh-CN"/>
        </w:rPr>
      </w:pPr>
      <w:r>
        <w:rPr>
          <w:rFonts w:hint="eastAsia"/>
          <w:szCs w:val="21"/>
        </w:rPr>
        <w:t>管理学</w:t>
      </w:r>
      <w:r>
        <w:rPr>
          <w:rFonts w:hint="eastAsia"/>
          <w:szCs w:val="21"/>
          <w:lang w:eastAsia="zh-CN"/>
        </w:rPr>
        <w:t>（</w:t>
      </w:r>
      <w:r>
        <w:rPr>
          <w:rFonts w:hint="eastAsia"/>
          <w:szCs w:val="21"/>
          <w:lang w:val="en-US" w:eastAsia="zh-CN"/>
        </w:rPr>
        <w:t>第二版</w:t>
      </w:r>
      <w:r>
        <w:rPr>
          <w:rFonts w:hint="eastAsia"/>
          <w:szCs w:val="21"/>
          <w:lang w:eastAsia="zh-CN"/>
        </w:rPr>
        <w:t>）</w:t>
      </w:r>
      <w:r>
        <w:rPr>
          <w:szCs w:val="21"/>
        </w:rPr>
        <w:t>．</w:t>
      </w:r>
      <w:r>
        <w:rPr>
          <w:rFonts w:hint="eastAsia"/>
          <w:szCs w:val="21"/>
        </w:rPr>
        <w:t>《管理学》编写组</w:t>
      </w:r>
      <w:r>
        <w:rPr>
          <w:szCs w:val="21"/>
        </w:rPr>
        <w:t>．高等教育出版社，20</w:t>
      </w:r>
      <w:r>
        <w:rPr>
          <w:rFonts w:hint="eastAsia"/>
          <w:szCs w:val="21"/>
          <w:lang w:val="en-US" w:eastAsia="zh-CN"/>
        </w:rPr>
        <w:t>25</w:t>
      </w:r>
    </w:p>
    <w:p w14:paraId="7E7E6B45">
      <w:pPr>
        <w:spacing w:before="312" w:beforeLines="100" w:after="31" w:afterLines="10" w:line="288" w:lineRule="auto"/>
        <w:rPr>
          <w:b/>
          <w:szCs w:val="21"/>
        </w:rPr>
      </w:pPr>
      <w:r>
        <w:rPr>
          <w:rFonts w:hint="eastAsia"/>
          <w:b/>
          <w:szCs w:val="21"/>
        </w:rPr>
        <w:t>四、样卷</w:t>
      </w:r>
    </w:p>
    <w:p w14:paraId="693E9DCE">
      <w:pPr>
        <w:spacing w:before="312" w:beforeLines="100" w:after="31" w:afterLines="10" w:line="288" w:lineRule="auto"/>
        <w:rPr>
          <w:b/>
          <w:szCs w:val="21"/>
        </w:rPr>
      </w:pPr>
      <w:r>
        <w:rPr>
          <w:rFonts w:hint="eastAsia"/>
          <w:b/>
          <w:szCs w:val="21"/>
        </w:rPr>
        <w:t>无</w:t>
      </w:r>
    </w:p>
    <w:p w14:paraId="0E076A0B">
      <w:pPr>
        <w:spacing w:before="31" w:beforeLines="10" w:after="31" w:afterLines="10" w:line="288" w:lineRule="auto"/>
        <w:ind w:left="1260" w:leftChars="600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85329168"/>
      <w:docPartObj>
        <w:docPartGallery w:val="autotext"/>
      </w:docPartObj>
    </w:sdtPr>
    <w:sdtContent>
      <w:p w14:paraId="5991F2D8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25CABE9B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38D"/>
    <w:rsid w:val="000011CC"/>
    <w:rsid w:val="00007185"/>
    <w:rsid w:val="00010BF2"/>
    <w:rsid w:val="0001197D"/>
    <w:rsid w:val="00023BB3"/>
    <w:rsid w:val="00027536"/>
    <w:rsid w:val="00035111"/>
    <w:rsid w:val="00036C0B"/>
    <w:rsid w:val="00044D15"/>
    <w:rsid w:val="000544CB"/>
    <w:rsid w:val="000562D8"/>
    <w:rsid w:val="00056366"/>
    <w:rsid w:val="00071E69"/>
    <w:rsid w:val="000749A0"/>
    <w:rsid w:val="00083028"/>
    <w:rsid w:val="000867FB"/>
    <w:rsid w:val="00086BC3"/>
    <w:rsid w:val="00086D9C"/>
    <w:rsid w:val="00093B2E"/>
    <w:rsid w:val="00093E61"/>
    <w:rsid w:val="0009647D"/>
    <w:rsid w:val="000A66A9"/>
    <w:rsid w:val="000B3DB5"/>
    <w:rsid w:val="000B77B9"/>
    <w:rsid w:val="000C772B"/>
    <w:rsid w:val="000E04BB"/>
    <w:rsid w:val="000E2EBA"/>
    <w:rsid w:val="000E2F7E"/>
    <w:rsid w:val="0011362C"/>
    <w:rsid w:val="0013105B"/>
    <w:rsid w:val="001328BE"/>
    <w:rsid w:val="00135182"/>
    <w:rsid w:val="00136746"/>
    <w:rsid w:val="00142C89"/>
    <w:rsid w:val="00143DBA"/>
    <w:rsid w:val="00146146"/>
    <w:rsid w:val="001525C9"/>
    <w:rsid w:val="00163D89"/>
    <w:rsid w:val="0017243E"/>
    <w:rsid w:val="001741E8"/>
    <w:rsid w:val="0017691F"/>
    <w:rsid w:val="0017712D"/>
    <w:rsid w:val="00177BC5"/>
    <w:rsid w:val="001A393E"/>
    <w:rsid w:val="001B25F8"/>
    <w:rsid w:val="001B6352"/>
    <w:rsid w:val="001C7D3E"/>
    <w:rsid w:val="001D016F"/>
    <w:rsid w:val="001D190D"/>
    <w:rsid w:val="001D49ED"/>
    <w:rsid w:val="001D64F1"/>
    <w:rsid w:val="001E49E2"/>
    <w:rsid w:val="001F2A00"/>
    <w:rsid w:val="001F32BE"/>
    <w:rsid w:val="001F38DA"/>
    <w:rsid w:val="00215F94"/>
    <w:rsid w:val="00216DDF"/>
    <w:rsid w:val="0022161B"/>
    <w:rsid w:val="00222C9A"/>
    <w:rsid w:val="00227116"/>
    <w:rsid w:val="00230F66"/>
    <w:rsid w:val="0023119D"/>
    <w:rsid w:val="00242656"/>
    <w:rsid w:val="00244453"/>
    <w:rsid w:val="00245E6E"/>
    <w:rsid w:val="002553EC"/>
    <w:rsid w:val="00261699"/>
    <w:rsid w:val="002640FE"/>
    <w:rsid w:val="00264904"/>
    <w:rsid w:val="00273B01"/>
    <w:rsid w:val="00274C5D"/>
    <w:rsid w:val="00275E7B"/>
    <w:rsid w:val="002836F0"/>
    <w:rsid w:val="00284A2C"/>
    <w:rsid w:val="00290C1E"/>
    <w:rsid w:val="002A02EF"/>
    <w:rsid w:val="002A08D4"/>
    <w:rsid w:val="002A3091"/>
    <w:rsid w:val="002A4535"/>
    <w:rsid w:val="002B04EC"/>
    <w:rsid w:val="002B3153"/>
    <w:rsid w:val="002B32A9"/>
    <w:rsid w:val="002C346D"/>
    <w:rsid w:val="002D79E7"/>
    <w:rsid w:val="002E6FC6"/>
    <w:rsid w:val="00301D5A"/>
    <w:rsid w:val="00304126"/>
    <w:rsid w:val="003076D1"/>
    <w:rsid w:val="003263A2"/>
    <w:rsid w:val="00340CC7"/>
    <w:rsid w:val="00357559"/>
    <w:rsid w:val="00362FE2"/>
    <w:rsid w:val="003676A0"/>
    <w:rsid w:val="003711B7"/>
    <w:rsid w:val="003763D5"/>
    <w:rsid w:val="00387307"/>
    <w:rsid w:val="003A26A8"/>
    <w:rsid w:val="003A3748"/>
    <w:rsid w:val="003A42AC"/>
    <w:rsid w:val="003A681F"/>
    <w:rsid w:val="003C2C7D"/>
    <w:rsid w:val="003C53E7"/>
    <w:rsid w:val="003C7984"/>
    <w:rsid w:val="003D0101"/>
    <w:rsid w:val="003D0E3F"/>
    <w:rsid w:val="003E020E"/>
    <w:rsid w:val="003E29A7"/>
    <w:rsid w:val="0040122E"/>
    <w:rsid w:val="004046CA"/>
    <w:rsid w:val="00426ABC"/>
    <w:rsid w:val="0043104D"/>
    <w:rsid w:val="00431159"/>
    <w:rsid w:val="0043174B"/>
    <w:rsid w:val="00435D27"/>
    <w:rsid w:val="004371C4"/>
    <w:rsid w:val="00444CCA"/>
    <w:rsid w:val="0044635D"/>
    <w:rsid w:val="00457255"/>
    <w:rsid w:val="0046088C"/>
    <w:rsid w:val="00460A6B"/>
    <w:rsid w:val="0046284B"/>
    <w:rsid w:val="00462A8F"/>
    <w:rsid w:val="00471544"/>
    <w:rsid w:val="00472203"/>
    <w:rsid w:val="004739A8"/>
    <w:rsid w:val="00475EB3"/>
    <w:rsid w:val="00484C34"/>
    <w:rsid w:val="00494938"/>
    <w:rsid w:val="00495885"/>
    <w:rsid w:val="004A7F2A"/>
    <w:rsid w:val="004B056E"/>
    <w:rsid w:val="004B2FBC"/>
    <w:rsid w:val="004B4CD7"/>
    <w:rsid w:val="004B4E2E"/>
    <w:rsid w:val="004C2216"/>
    <w:rsid w:val="004C66F4"/>
    <w:rsid w:val="004D1ECA"/>
    <w:rsid w:val="004E57DF"/>
    <w:rsid w:val="004F406F"/>
    <w:rsid w:val="004F71CC"/>
    <w:rsid w:val="005034EA"/>
    <w:rsid w:val="005034FA"/>
    <w:rsid w:val="0051034F"/>
    <w:rsid w:val="005201B0"/>
    <w:rsid w:val="005203B3"/>
    <w:rsid w:val="00523B2A"/>
    <w:rsid w:val="00525BE7"/>
    <w:rsid w:val="00532D5D"/>
    <w:rsid w:val="00550F04"/>
    <w:rsid w:val="00552AC2"/>
    <w:rsid w:val="0056791C"/>
    <w:rsid w:val="00570D88"/>
    <w:rsid w:val="0057499E"/>
    <w:rsid w:val="00587062"/>
    <w:rsid w:val="00590191"/>
    <w:rsid w:val="005917C6"/>
    <w:rsid w:val="0059573B"/>
    <w:rsid w:val="005A6C80"/>
    <w:rsid w:val="005B211B"/>
    <w:rsid w:val="005B2154"/>
    <w:rsid w:val="005C2EED"/>
    <w:rsid w:val="005C3E35"/>
    <w:rsid w:val="005D491B"/>
    <w:rsid w:val="005D61BD"/>
    <w:rsid w:val="005E6B52"/>
    <w:rsid w:val="005F2D1D"/>
    <w:rsid w:val="005F5461"/>
    <w:rsid w:val="006075EF"/>
    <w:rsid w:val="00611B0F"/>
    <w:rsid w:val="00612BF3"/>
    <w:rsid w:val="006178AB"/>
    <w:rsid w:val="0062367E"/>
    <w:rsid w:val="00632422"/>
    <w:rsid w:val="006363FD"/>
    <w:rsid w:val="006443A2"/>
    <w:rsid w:val="00646D49"/>
    <w:rsid w:val="00655276"/>
    <w:rsid w:val="00655D4E"/>
    <w:rsid w:val="00671300"/>
    <w:rsid w:val="006824EC"/>
    <w:rsid w:val="006A0C35"/>
    <w:rsid w:val="006A1CCC"/>
    <w:rsid w:val="006A5C48"/>
    <w:rsid w:val="006B2F91"/>
    <w:rsid w:val="006C708E"/>
    <w:rsid w:val="006E0433"/>
    <w:rsid w:val="006E0774"/>
    <w:rsid w:val="006F5377"/>
    <w:rsid w:val="006F74EA"/>
    <w:rsid w:val="00700AF4"/>
    <w:rsid w:val="0070165B"/>
    <w:rsid w:val="00704D78"/>
    <w:rsid w:val="0070525B"/>
    <w:rsid w:val="0070693D"/>
    <w:rsid w:val="007149CE"/>
    <w:rsid w:val="00715CB2"/>
    <w:rsid w:val="0072045D"/>
    <w:rsid w:val="0072246A"/>
    <w:rsid w:val="00725A8B"/>
    <w:rsid w:val="00727BB0"/>
    <w:rsid w:val="00734081"/>
    <w:rsid w:val="00763EEA"/>
    <w:rsid w:val="0076531B"/>
    <w:rsid w:val="00765844"/>
    <w:rsid w:val="0076678F"/>
    <w:rsid w:val="00785C27"/>
    <w:rsid w:val="00786E3F"/>
    <w:rsid w:val="00787FB9"/>
    <w:rsid w:val="007933CA"/>
    <w:rsid w:val="007A0680"/>
    <w:rsid w:val="007A56DE"/>
    <w:rsid w:val="007A7202"/>
    <w:rsid w:val="007A7961"/>
    <w:rsid w:val="007B0100"/>
    <w:rsid w:val="007B3F51"/>
    <w:rsid w:val="007B5A77"/>
    <w:rsid w:val="007B5C87"/>
    <w:rsid w:val="007C338E"/>
    <w:rsid w:val="007D0812"/>
    <w:rsid w:val="007D2A59"/>
    <w:rsid w:val="007E3AA9"/>
    <w:rsid w:val="007F562F"/>
    <w:rsid w:val="007F78E3"/>
    <w:rsid w:val="00800C53"/>
    <w:rsid w:val="00801A0D"/>
    <w:rsid w:val="00802A9E"/>
    <w:rsid w:val="0080411B"/>
    <w:rsid w:val="0080566E"/>
    <w:rsid w:val="00813FB0"/>
    <w:rsid w:val="00814DC1"/>
    <w:rsid w:val="008178FE"/>
    <w:rsid w:val="0082178A"/>
    <w:rsid w:val="00823BE2"/>
    <w:rsid w:val="008268FE"/>
    <w:rsid w:val="00826B82"/>
    <w:rsid w:val="00826E2D"/>
    <w:rsid w:val="00830E70"/>
    <w:rsid w:val="00834FE4"/>
    <w:rsid w:val="008467FA"/>
    <w:rsid w:val="00847842"/>
    <w:rsid w:val="00856707"/>
    <w:rsid w:val="00857BEF"/>
    <w:rsid w:val="00860170"/>
    <w:rsid w:val="008636DA"/>
    <w:rsid w:val="00865992"/>
    <w:rsid w:val="00866665"/>
    <w:rsid w:val="00875148"/>
    <w:rsid w:val="00882EB7"/>
    <w:rsid w:val="0088639D"/>
    <w:rsid w:val="00894337"/>
    <w:rsid w:val="008A48CE"/>
    <w:rsid w:val="008B3F3F"/>
    <w:rsid w:val="008C45EB"/>
    <w:rsid w:val="008D4C7C"/>
    <w:rsid w:val="008E233B"/>
    <w:rsid w:val="008E3150"/>
    <w:rsid w:val="008F7B13"/>
    <w:rsid w:val="00901050"/>
    <w:rsid w:val="00901383"/>
    <w:rsid w:val="00905172"/>
    <w:rsid w:val="0090707E"/>
    <w:rsid w:val="009103D6"/>
    <w:rsid w:val="00915C04"/>
    <w:rsid w:val="009164C9"/>
    <w:rsid w:val="00917401"/>
    <w:rsid w:val="0093090F"/>
    <w:rsid w:val="00930E88"/>
    <w:rsid w:val="009315AF"/>
    <w:rsid w:val="00936B3F"/>
    <w:rsid w:val="009410CD"/>
    <w:rsid w:val="00950037"/>
    <w:rsid w:val="00956601"/>
    <w:rsid w:val="009643F5"/>
    <w:rsid w:val="00965433"/>
    <w:rsid w:val="00975115"/>
    <w:rsid w:val="009856CB"/>
    <w:rsid w:val="00997FDF"/>
    <w:rsid w:val="009A58D0"/>
    <w:rsid w:val="009C50F3"/>
    <w:rsid w:val="009C6D2A"/>
    <w:rsid w:val="009D5C77"/>
    <w:rsid w:val="009D65B5"/>
    <w:rsid w:val="009E1165"/>
    <w:rsid w:val="009F2660"/>
    <w:rsid w:val="00A10760"/>
    <w:rsid w:val="00A126AE"/>
    <w:rsid w:val="00A13017"/>
    <w:rsid w:val="00A209C1"/>
    <w:rsid w:val="00A2338D"/>
    <w:rsid w:val="00A35EBE"/>
    <w:rsid w:val="00A42857"/>
    <w:rsid w:val="00A439A9"/>
    <w:rsid w:val="00A43CC4"/>
    <w:rsid w:val="00A511B6"/>
    <w:rsid w:val="00A52489"/>
    <w:rsid w:val="00A54165"/>
    <w:rsid w:val="00A63959"/>
    <w:rsid w:val="00A639A8"/>
    <w:rsid w:val="00A709EE"/>
    <w:rsid w:val="00A727D0"/>
    <w:rsid w:val="00A90D6F"/>
    <w:rsid w:val="00A91E06"/>
    <w:rsid w:val="00A91E70"/>
    <w:rsid w:val="00A9739C"/>
    <w:rsid w:val="00AA5B08"/>
    <w:rsid w:val="00AA5F07"/>
    <w:rsid w:val="00AB2A0C"/>
    <w:rsid w:val="00AB6517"/>
    <w:rsid w:val="00AC1E3A"/>
    <w:rsid w:val="00AC2403"/>
    <w:rsid w:val="00AC44B2"/>
    <w:rsid w:val="00AC698F"/>
    <w:rsid w:val="00AE5129"/>
    <w:rsid w:val="00B0062B"/>
    <w:rsid w:val="00B0672D"/>
    <w:rsid w:val="00B12AFA"/>
    <w:rsid w:val="00B353E2"/>
    <w:rsid w:val="00B36A2B"/>
    <w:rsid w:val="00B458CC"/>
    <w:rsid w:val="00B61828"/>
    <w:rsid w:val="00B65338"/>
    <w:rsid w:val="00B729B1"/>
    <w:rsid w:val="00B72D44"/>
    <w:rsid w:val="00B827DF"/>
    <w:rsid w:val="00B82D2E"/>
    <w:rsid w:val="00B84E06"/>
    <w:rsid w:val="00B9629D"/>
    <w:rsid w:val="00B96A0C"/>
    <w:rsid w:val="00BA49C3"/>
    <w:rsid w:val="00BA6321"/>
    <w:rsid w:val="00BB40B5"/>
    <w:rsid w:val="00BC1904"/>
    <w:rsid w:val="00BC5FC4"/>
    <w:rsid w:val="00BE41E1"/>
    <w:rsid w:val="00C04E1D"/>
    <w:rsid w:val="00C04E7D"/>
    <w:rsid w:val="00C0576A"/>
    <w:rsid w:val="00C10439"/>
    <w:rsid w:val="00C11AB9"/>
    <w:rsid w:val="00C12480"/>
    <w:rsid w:val="00C12540"/>
    <w:rsid w:val="00C13B82"/>
    <w:rsid w:val="00C14C96"/>
    <w:rsid w:val="00C14E64"/>
    <w:rsid w:val="00C156D4"/>
    <w:rsid w:val="00C20592"/>
    <w:rsid w:val="00C361A8"/>
    <w:rsid w:val="00C372E2"/>
    <w:rsid w:val="00C4246F"/>
    <w:rsid w:val="00C466B7"/>
    <w:rsid w:val="00C47920"/>
    <w:rsid w:val="00C51FEA"/>
    <w:rsid w:val="00C53B9A"/>
    <w:rsid w:val="00C55C84"/>
    <w:rsid w:val="00C70962"/>
    <w:rsid w:val="00C74124"/>
    <w:rsid w:val="00C80E93"/>
    <w:rsid w:val="00C9255E"/>
    <w:rsid w:val="00C9665A"/>
    <w:rsid w:val="00CA3407"/>
    <w:rsid w:val="00CA38E0"/>
    <w:rsid w:val="00CA3C4D"/>
    <w:rsid w:val="00CA3E59"/>
    <w:rsid w:val="00CC5A4A"/>
    <w:rsid w:val="00CD0125"/>
    <w:rsid w:val="00CD270C"/>
    <w:rsid w:val="00CD763E"/>
    <w:rsid w:val="00CE1A09"/>
    <w:rsid w:val="00CE1FC0"/>
    <w:rsid w:val="00CE7928"/>
    <w:rsid w:val="00D02BEB"/>
    <w:rsid w:val="00D06C57"/>
    <w:rsid w:val="00D10470"/>
    <w:rsid w:val="00D10678"/>
    <w:rsid w:val="00D109A2"/>
    <w:rsid w:val="00D15BBD"/>
    <w:rsid w:val="00D16FF9"/>
    <w:rsid w:val="00D17328"/>
    <w:rsid w:val="00D33459"/>
    <w:rsid w:val="00D41264"/>
    <w:rsid w:val="00D414FE"/>
    <w:rsid w:val="00D46315"/>
    <w:rsid w:val="00D515FF"/>
    <w:rsid w:val="00D51891"/>
    <w:rsid w:val="00D5594E"/>
    <w:rsid w:val="00D576E4"/>
    <w:rsid w:val="00D60B7E"/>
    <w:rsid w:val="00D62320"/>
    <w:rsid w:val="00D84AB2"/>
    <w:rsid w:val="00D86324"/>
    <w:rsid w:val="00D907E4"/>
    <w:rsid w:val="00DA4A5B"/>
    <w:rsid w:val="00DB6C39"/>
    <w:rsid w:val="00DC2473"/>
    <w:rsid w:val="00DD7455"/>
    <w:rsid w:val="00DE1FF6"/>
    <w:rsid w:val="00DE6FFA"/>
    <w:rsid w:val="00DF032F"/>
    <w:rsid w:val="00DF1EB6"/>
    <w:rsid w:val="00E013CB"/>
    <w:rsid w:val="00E11BE0"/>
    <w:rsid w:val="00E11F7F"/>
    <w:rsid w:val="00E12150"/>
    <w:rsid w:val="00E151FD"/>
    <w:rsid w:val="00E207B0"/>
    <w:rsid w:val="00E30298"/>
    <w:rsid w:val="00E32483"/>
    <w:rsid w:val="00E4466C"/>
    <w:rsid w:val="00E453B2"/>
    <w:rsid w:val="00E52AB8"/>
    <w:rsid w:val="00E559BA"/>
    <w:rsid w:val="00E811CE"/>
    <w:rsid w:val="00E91378"/>
    <w:rsid w:val="00E923E9"/>
    <w:rsid w:val="00E95859"/>
    <w:rsid w:val="00E959A8"/>
    <w:rsid w:val="00EA1AAF"/>
    <w:rsid w:val="00EA4CDE"/>
    <w:rsid w:val="00EA5585"/>
    <w:rsid w:val="00EB404F"/>
    <w:rsid w:val="00EB7142"/>
    <w:rsid w:val="00EB71F3"/>
    <w:rsid w:val="00EC1C5C"/>
    <w:rsid w:val="00EC6076"/>
    <w:rsid w:val="00ED08BB"/>
    <w:rsid w:val="00EE1138"/>
    <w:rsid w:val="00EE3BDF"/>
    <w:rsid w:val="00EE58A1"/>
    <w:rsid w:val="00EF00D3"/>
    <w:rsid w:val="00EF36B9"/>
    <w:rsid w:val="00EF3E2D"/>
    <w:rsid w:val="00F00295"/>
    <w:rsid w:val="00F0369E"/>
    <w:rsid w:val="00F12252"/>
    <w:rsid w:val="00F24F43"/>
    <w:rsid w:val="00F3310D"/>
    <w:rsid w:val="00F35D75"/>
    <w:rsid w:val="00F41E5D"/>
    <w:rsid w:val="00F64ADD"/>
    <w:rsid w:val="00F67139"/>
    <w:rsid w:val="00F70569"/>
    <w:rsid w:val="00F72099"/>
    <w:rsid w:val="00F75243"/>
    <w:rsid w:val="00F82153"/>
    <w:rsid w:val="00F82963"/>
    <w:rsid w:val="00F82D1B"/>
    <w:rsid w:val="00F92278"/>
    <w:rsid w:val="00F94697"/>
    <w:rsid w:val="00FA0615"/>
    <w:rsid w:val="00FA2AE5"/>
    <w:rsid w:val="00FA2FBB"/>
    <w:rsid w:val="00FB3C9E"/>
    <w:rsid w:val="00FB676F"/>
    <w:rsid w:val="00FB6C55"/>
    <w:rsid w:val="00FC691C"/>
    <w:rsid w:val="00FC71AC"/>
    <w:rsid w:val="00FD106C"/>
    <w:rsid w:val="00FD185C"/>
    <w:rsid w:val="00FE2AD5"/>
    <w:rsid w:val="00FF1401"/>
    <w:rsid w:val="00FF2E60"/>
    <w:rsid w:val="00FF6D1F"/>
    <w:rsid w:val="02317708"/>
    <w:rsid w:val="03C01E0A"/>
    <w:rsid w:val="5C6A523B"/>
    <w:rsid w:val="78860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标题 1 Char"/>
    <w:basedOn w:val="8"/>
    <w:link w:val="2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styleId="10">
    <w:name w:val="List Paragraph"/>
    <w:basedOn w:val="1"/>
    <w:qFormat/>
    <w:uiPriority w:val="0"/>
    <w:pPr>
      <w:ind w:firstLine="420" w:firstLineChars="200"/>
    </w:pPr>
  </w:style>
  <w:style w:type="paragraph" w:customStyle="1" w:styleId="11">
    <w:name w:val="Char Char1 Char"/>
    <w:basedOn w:val="1"/>
    <w:semiHidden/>
    <w:qFormat/>
    <w:uiPriority w:val="0"/>
  </w:style>
  <w:style w:type="character" w:customStyle="1" w:styleId="12">
    <w:name w:val="页眉 Char"/>
    <w:basedOn w:val="8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4">
    <w:name w:val="Char Char1 Char1"/>
    <w:basedOn w:val="1"/>
    <w:semiHidden/>
    <w:qFormat/>
    <w:uiPriority w:val="0"/>
  </w:style>
  <w:style w:type="character" w:customStyle="1" w:styleId="15">
    <w:name w:val="批注框文本 Char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6">
    <w:name w:val=" Char Char1 Char"/>
    <w:basedOn w:val="1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953</Words>
  <Characters>1024</Characters>
  <Lines>7</Lines>
  <Paragraphs>2</Paragraphs>
  <TotalTime>91</TotalTime>
  <ScaleCrop>false</ScaleCrop>
  <LinksUpToDate>false</LinksUpToDate>
  <CharactersWithSpaces>1096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2019-05-15T03:14:00Z</dcterms:created>
  <dc:creator>李文博</dc:creator>
  <cp:lastModifiedBy>许傲雪</cp:lastModifiedBy>
  <cp:lastPrinted>2019-05-15T03:48:00Z</cp:lastPrinted>
  <dcterms:modified xsi:type="dcterms:W3CDTF">2026-06-23T07:29:40Z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eyJoZGlkIjoiNzg3MTkxYjAzOTA5MzE2OWExM2YxY2YwMWNjM2JhNGYiLCJ1c2VySWQiOiI2MjEzMzk5MjUifQ==</vt:lpwstr>
  </property>
  <property fmtid="{D5CDD505-2E9C-101B-9397-08002B2CF9AE}" pid="3" name="KSOProductBuildVer">
    <vt:lpwstr>2052-12.1.0.26375</vt:lpwstr>
  </property>
  <property fmtid="{D5CDD505-2E9C-101B-9397-08002B2CF9AE}" pid="4" name="ICV">
    <vt:lpwstr>A5F65A927FFE42CBA393BC44E072A4B1_13</vt:lpwstr>
  </property>
</Properties>
</file>